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743F2" w14:textId="3CC4AE43" w:rsidR="00201AC2" w:rsidRDefault="00772B8F" w:rsidP="00772B8F">
      <w:pPr>
        <w:spacing w:after="360"/>
        <w:rPr>
          <w:b/>
          <w:sz w:val="44"/>
          <w:szCs w:val="44"/>
        </w:rPr>
      </w:pPr>
      <w:r>
        <w:rPr>
          <w:b/>
          <w:sz w:val="44"/>
          <w:szCs w:val="44"/>
        </w:rPr>
        <w:t>D</w:t>
      </w:r>
      <w:r w:rsidR="0019732C">
        <w:rPr>
          <w:b/>
          <w:sz w:val="44"/>
          <w:szCs w:val="44"/>
        </w:rPr>
        <w:t xml:space="preserve">eveloping </w:t>
      </w:r>
      <w:r>
        <w:rPr>
          <w:b/>
          <w:sz w:val="44"/>
          <w:szCs w:val="44"/>
        </w:rPr>
        <w:t>needs</w:t>
      </w:r>
    </w:p>
    <w:p w14:paraId="45B34C06" w14:textId="5F9ABFF5" w:rsidR="0019732C" w:rsidRPr="001A40E2" w:rsidRDefault="0019732C" w:rsidP="0019732C">
      <w:pPr>
        <w:spacing w:after="180"/>
        <w:jc w:val="center"/>
        <w:rPr>
          <w:b/>
          <w:sz w:val="44"/>
          <w:szCs w:val="44"/>
        </w:rPr>
      </w:pPr>
      <w:r>
        <w:rPr>
          <w:noProof/>
          <w:lang w:eastAsia="en-GB"/>
        </w:rPr>
        <w:drawing>
          <wp:inline distT="0" distB="0" distL="0" distR="0" wp14:anchorId="290C10B7" wp14:editId="28E2F847">
            <wp:extent cx="2725956" cy="1773715"/>
            <wp:effectExtent l="0" t="0" r="0" b="0"/>
            <wp:docPr id="6" name="Picture 6" descr="Fetus, Placenta, Umbilical Cord, Pregnancy, Embr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tus, Placenta, Umbilical Cord, Pregnancy, Embry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010" cy="1803030"/>
                    </a:xfrm>
                    <a:prstGeom prst="rect">
                      <a:avLst/>
                    </a:prstGeom>
                    <a:noFill/>
                    <a:ln>
                      <a:noFill/>
                    </a:ln>
                  </pic:spPr>
                </pic:pic>
              </a:graphicData>
            </a:graphic>
          </wp:inline>
        </w:drawing>
      </w:r>
    </w:p>
    <w:p w14:paraId="47D68D08" w14:textId="77777777" w:rsidR="00201AC2" w:rsidRDefault="00201AC2" w:rsidP="00201AC2">
      <w:pPr>
        <w:spacing w:after="180"/>
      </w:pPr>
    </w:p>
    <w:p w14:paraId="78C731A8" w14:textId="1CBC3FF7" w:rsidR="00A67B7B" w:rsidRDefault="00A67B7B" w:rsidP="00A67B7B">
      <w:pPr>
        <w:spacing w:after="180"/>
      </w:pPr>
      <w:r w:rsidRPr="00AB0FE6">
        <w:t xml:space="preserve">As a fetus grows and develops in the uterus it must be provided with </w:t>
      </w:r>
      <w:r w:rsidR="00772B8F">
        <w:t>substances it needs</w:t>
      </w:r>
      <w:r w:rsidRPr="00AB0FE6">
        <w:t xml:space="preserve"> to </w:t>
      </w:r>
      <w:r w:rsidR="00772B8F">
        <w:t>stay alive</w:t>
      </w:r>
      <w:r w:rsidRPr="00AB0FE6">
        <w:t xml:space="preserve"> and th</w:t>
      </w:r>
      <w:r w:rsidR="00772B8F">
        <w:t>e materials needed for growth.</w:t>
      </w:r>
    </w:p>
    <w:p w14:paraId="31C0E8A0" w14:textId="77777777" w:rsidR="00A67B7B" w:rsidRDefault="00A67B7B" w:rsidP="00A67B7B">
      <w:pPr>
        <w:spacing w:after="180"/>
      </w:pPr>
      <w:r>
        <w:t>Look at the statements in the table. Some are right and some are wrong.</w:t>
      </w:r>
    </w:p>
    <w:p w14:paraId="50A90722" w14:textId="77777777" w:rsidR="00A67B7B" w:rsidRDefault="00A67B7B" w:rsidP="00A67B7B">
      <w:pPr>
        <w:spacing w:after="180"/>
      </w:pPr>
      <w:r w:rsidRPr="007805CD">
        <w:t xml:space="preserve">Tick </w:t>
      </w:r>
      <w:r w:rsidRPr="00267298">
        <w:rPr>
          <w:b/>
        </w:rPr>
        <w:t>one</w:t>
      </w:r>
      <w:r w:rsidRPr="007805CD">
        <w:t xml:space="preserve"> box </w:t>
      </w:r>
      <w:r>
        <w:t xml:space="preserve">for </w:t>
      </w:r>
      <w:r w:rsidRPr="00267298">
        <w:t>each</w:t>
      </w:r>
      <w:r>
        <w:t xml:space="preserve"> statement.</w:t>
      </w:r>
    </w:p>
    <w:p w14:paraId="60DF4CBC" w14:textId="77777777" w:rsidR="00726D7A" w:rsidRDefault="00726D7A" w:rsidP="00726D7A">
      <w:pPr>
        <w:spacing w:after="180"/>
      </w:pPr>
    </w:p>
    <w:tbl>
      <w:tblPr>
        <w:tblStyle w:val="TableGrid"/>
        <w:tblW w:w="9043" w:type="dxa"/>
        <w:tblInd w:w="137" w:type="dxa"/>
        <w:tblLayout w:type="fixed"/>
        <w:tblLook w:val="04A0" w:firstRow="1" w:lastRow="0" w:firstColumn="1" w:lastColumn="0" w:noHBand="0" w:noVBand="1"/>
      </w:tblPr>
      <w:tblGrid>
        <w:gridCol w:w="425"/>
        <w:gridCol w:w="4224"/>
        <w:gridCol w:w="1098"/>
        <w:gridCol w:w="1099"/>
        <w:gridCol w:w="1098"/>
        <w:gridCol w:w="1099"/>
      </w:tblGrid>
      <w:tr w:rsidR="00726D7A" w14:paraId="2BF58A40" w14:textId="77777777" w:rsidTr="00571216">
        <w:tc>
          <w:tcPr>
            <w:tcW w:w="4649" w:type="dxa"/>
            <w:gridSpan w:val="2"/>
            <w:vAlign w:val="bottom"/>
          </w:tcPr>
          <w:p w14:paraId="718FB40B" w14:textId="77777777" w:rsidR="00726D7A" w:rsidRDefault="00726D7A" w:rsidP="00571216">
            <w:pPr>
              <w:spacing w:before="60" w:after="120"/>
            </w:pPr>
            <w:r>
              <w:rPr>
                <w:b/>
              </w:rPr>
              <w:t>Statements</w:t>
            </w:r>
          </w:p>
        </w:tc>
        <w:tc>
          <w:tcPr>
            <w:tcW w:w="1098" w:type="dxa"/>
            <w:vAlign w:val="center"/>
          </w:tcPr>
          <w:p w14:paraId="30FAEB7B" w14:textId="77777777" w:rsidR="00726D7A" w:rsidRDefault="00726D7A" w:rsidP="00571216">
            <w:pPr>
              <w:spacing w:before="60" w:after="60"/>
              <w:jc w:val="center"/>
            </w:pPr>
            <w:r>
              <w:t xml:space="preserve">I am </w:t>
            </w:r>
            <w:r w:rsidRPr="009269FA">
              <w:rPr>
                <w:b/>
              </w:rPr>
              <w:t>sure</w:t>
            </w:r>
            <w:r>
              <w:t xml:space="preserve"> this is right</w:t>
            </w:r>
          </w:p>
        </w:tc>
        <w:tc>
          <w:tcPr>
            <w:tcW w:w="1099" w:type="dxa"/>
            <w:vAlign w:val="center"/>
          </w:tcPr>
          <w:p w14:paraId="25288D4D" w14:textId="77777777" w:rsidR="00726D7A" w:rsidRDefault="00726D7A" w:rsidP="00571216">
            <w:pPr>
              <w:spacing w:before="60" w:after="60"/>
              <w:jc w:val="center"/>
            </w:pPr>
            <w:r>
              <w:t xml:space="preserve">I </w:t>
            </w:r>
            <w:r w:rsidRPr="009269FA">
              <w:rPr>
                <w:b/>
              </w:rPr>
              <w:t>think</w:t>
            </w:r>
            <w:r>
              <w:t xml:space="preserve"> this is right</w:t>
            </w:r>
          </w:p>
        </w:tc>
        <w:tc>
          <w:tcPr>
            <w:tcW w:w="1098" w:type="dxa"/>
            <w:vAlign w:val="center"/>
          </w:tcPr>
          <w:p w14:paraId="1FC17E9E" w14:textId="77777777" w:rsidR="00726D7A" w:rsidRDefault="00726D7A" w:rsidP="00571216">
            <w:pPr>
              <w:spacing w:before="60" w:after="60"/>
              <w:jc w:val="center"/>
            </w:pPr>
            <w:r>
              <w:t xml:space="preserve">I </w:t>
            </w:r>
            <w:r w:rsidRPr="009269FA">
              <w:rPr>
                <w:b/>
              </w:rPr>
              <w:t>think</w:t>
            </w:r>
            <w:r>
              <w:t xml:space="preserve"> this is wrong</w:t>
            </w:r>
          </w:p>
        </w:tc>
        <w:tc>
          <w:tcPr>
            <w:tcW w:w="1099" w:type="dxa"/>
            <w:vAlign w:val="center"/>
          </w:tcPr>
          <w:p w14:paraId="5D233D5A" w14:textId="77777777" w:rsidR="00726D7A" w:rsidRDefault="00726D7A" w:rsidP="00571216">
            <w:pPr>
              <w:spacing w:before="60" w:after="60"/>
              <w:jc w:val="center"/>
            </w:pPr>
            <w:r>
              <w:t xml:space="preserve">I am </w:t>
            </w:r>
            <w:r w:rsidRPr="009269FA">
              <w:rPr>
                <w:b/>
              </w:rPr>
              <w:t>sure</w:t>
            </w:r>
            <w:r>
              <w:t xml:space="preserve"> this is wrong</w:t>
            </w:r>
          </w:p>
        </w:tc>
      </w:tr>
      <w:tr w:rsidR="00726D7A" w14:paraId="5AB082A6" w14:textId="77777777" w:rsidTr="00571216">
        <w:trPr>
          <w:trHeight w:val="680"/>
        </w:trPr>
        <w:tc>
          <w:tcPr>
            <w:tcW w:w="425" w:type="dxa"/>
            <w:vAlign w:val="center"/>
          </w:tcPr>
          <w:p w14:paraId="05C589F4" w14:textId="5D0AC423" w:rsidR="00726D7A" w:rsidRPr="009269FA" w:rsidRDefault="00AC5C7A" w:rsidP="00571216">
            <w:pPr>
              <w:spacing w:before="60" w:after="60"/>
              <w:jc w:val="center"/>
              <w:rPr>
                <w:b/>
              </w:rPr>
            </w:pPr>
            <w:r>
              <w:rPr>
                <w:b/>
              </w:rPr>
              <w:t>1</w:t>
            </w:r>
          </w:p>
        </w:tc>
        <w:tc>
          <w:tcPr>
            <w:tcW w:w="4224" w:type="dxa"/>
            <w:vAlign w:val="center"/>
          </w:tcPr>
          <w:p w14:paraId="0649FACF" w14:textId="5A7BD4AE" w:rsidR="00726D7A" w:rsidRDefault="00A67B7B" w:rsidP="00571216">
            <w:pPr>
              <w:spacing w:before="60" w:after="60"/>
            </w:pPr>
            <w:r>
              <w:t>The mother</w:t>
            </w:r>
            <w:r w:rsidR="00772B8F">
              <w:t>’</w:t>
            </w:r>
            <w:r>
              <w:t>s blood takes nutrients to the developing fetus.</w:t>
            </w:r>
          </w:p>
        </w:tc>
        <w:tc>
          <w:tcPr>
            <w:tcW w:w="1098" w:type="dxa"/>
            <w:vAlign w:val="center"/>
          </w:tcPr>
          <w:p w14:paraId="5F278E45" w14:textId="77777777" w:rsidR="00726D7A" w:rsidRDefault="00726D7A" w:rsidP="00571216">
            <w:pPr>
              <w:spacing w:before="60" w:after="60"/>
              <w:jc w:val="center"/>
            </w:pPr>
          </w:p>
        </w:tc>
        <w:tc>
          <w:tcPr>
            <w:tcW w:w="1099" w:type="dxa"/>
            <w:vAlign w:val="center"/>
          </w:tcPr>
          <w:p w14:paraId="0B89DA51" w14:textId="77777777" w:rsidR="00726D7A" w:rsidRDefault="00726D7A" w:rsidP="00571216">
            <w:pPr>
              <w:spacing w:before="60" w:after="60"/>
              <w:jc w:val="center"/>
            </w:pPr>
          </w:p>
        </w:tc>
        <w:tc>
          <w:tcPr>
            <w:tcW w:w="1098" w:type="dxa"/>
            <w:vAlign w:val="center"/>
          </w:tcPr>
          <w:p w14:paraId="42890275" w14:textId="77777777" w:rsidR="00726D7A" w:rsidRDefault="00726D7A" w:rsidP="00571216">
            <w:pPr>
              <w:spacing w:before="60" w:after="60"/>
              <w:jc w:val="center"/>
            </w:pPr>
          </w:p>
        </w:tc>
        <w:tc>
          <w:tcPr>
            <w:tcW w:w="1099" w:type="dxa"/>
            <w:vAlign w:val="center"/>
          </w:tcPr>
          <w:p w14:paraId="1D3022B7" w14:textId="77777777" w:rsidR="00726D7A" w:rsidRDefault="00726D7A" w:rsidP="00571216">
            <w:pPr>
              <w:spacing w:before="60" w:after="60"/>
              <w:jc w:val="center"/>
            </w:pPr>
          </w:p>
        </w:tc>
      </w:tr>
      <w:tr w:rsidR="00726D7A" w14:paraId="68ED8E79" w14:textId="77777777" w:rsidTr="00571216">
        <w:trPr>
          <w:trHeight w:val="680"/>
        </w:trPr>
        <w:tc>
          <w:tcPr>
            <w:tcW w:w="425" w:type="dxa"/>
            <w:vAlign w:val="center"/>
          </w:tcPr>
          <w:p w14:paraId="4090EEAD" w14:textId="6071C6F5" w:rsidR="00726D7A" w:rsidRPr="009269FA" w:rsidRDefault="00AC5C7A" w:rsidP="00571216">
            <w:pPr>
              <w:spacing w:before="60" w:after="60"/>
              <w:jc w:val="center"/>
              <w:rPr>
                <w:b/>
              </w:rPr>
            </w:pPr>
            <w:r>
              <w:rPr>
                <w:b/>
              </w:rPr>
              <w:t>2</w:t>
            </w:r>
          </w:p>
        </w:tc>
        <w:tc>
          <w:tcPr>
            <w:tcW w:w="4224" w:type="dxa"/>
            <w:vAlign w:val="center"/>
          </w:tcPr>
          <w:p w14:paraId="13212A8F" w14:textId="75984482" w:rsidR="00726D7A" w:rsidRDefault="00A67B7B" w:rsidP="00571216">
            <w:pPr>
              <w:spacing w:before="60" w:after="60"/>
            </w:pPr>
            <w:r>
              <w:t>The fetus breathes in amniotic fluid.</w:t>
            </w:r>
          </w:p>
        </w:tc>
        <w:tc>
          <w:tcPr>
            <w:tcW w:w="1098" w:type="dxa"/>
            <w:vAlign w:val="center"/>
          </w:tcPr>
          <w:p w14:paraId="7A6A5CE7" w14:textId="77777777" w:rsidR="00726D7A" w:rsidRDefault="00726D7A" w:rsidP="00571216">
            <w:pPr>
              <w:spacing w:before="60" w:after="60"/>
              <w:jc w:val="center"/>
            </w:pPr>
          </w:p>
        </w:tc>
        <w:tc>
          <w:tcPr>
            <w:tcW w:w="1099" w:type="dxa"/>
            <w:vAlign w:val="center"/>
          </w:tcPr>
          <w:p w14:paraId="5D7B0985" w14:textId="77777777" w:rsidR="00726D7A" w:rsidRDefault="00726D7A" w:rsidP="00571216">
            <w:pPr>
              <w:spacing w:before="60" w:after="60"/>
              <w:jc w:val="center"/>
            </w:pPr>
          </w:p>
        </w:tc>
        <w:tc>
          <w:tcPr>
            <w:tcW w:w="1098" w:type="dxa"/>
            <w:vAlign w:val="center"/>
          </w:tcPr>
          <w:p w14:paraId="54291A0B" w14:textId="77777777" w:rsidR="00726D7A" w:rsidRDefault="00726D7A" w:rsidP="00571216">
            <w:pPr>
              <w:spacing w:before="60" w:after="60"/>
              <w:jc w:val="center"/>
            </w:pPr>
          </w:p>
        </w:tc>
        <w:tc>
          <w:tcPr>
            <w:tcW w:w="1099" w:type="dxa"/>
            <w:vAlign w:val="center"/>
          </w:tcPr>
          <w:p w14:paraId="47D8F2F5" w14:textId="77777777" w:rsidR="00726D7A" w:rsidRDefault="00726D7A" w:rsidP="00571216">
            <w:pPr>
              <w:spacing w:before="60" w:after="60"/>
              <w:jc w:val="center"/>
            </w:pPr>
          </w:p>
        </w:tc>
      </w:tr>
      <w:tr w:rsidR="00726D7A" w14:paraId="1AFFBA59" w14:textId="77777777" w:rsidTr="00571216">
        <w:trPr>
          <w:trHeight w:val="680"/>
        </w:trPr>
        <w:tc>
          <w:tcPr>
            <w:tcW w:w="425" w:type="dxa"/>
            <w:vAlign w:val="center"/>
          </w:tcPr>
          <w:p w14:paraId="7C7FA041" w14:textId="4D1EDE6D" w:rsidR="00726D7A" w:rsidRPr="009269FA" w:rsidRDefault="00AC5C7A" w:rsidP="00571216">
            <w:pPr>
              <w:spacing w:before="60" w:after="60"/>
              <w:jc w:val="center"/>
              <w:rPr>
                <w:b/>
              </w:rPr>
            </w:pPr>
            <w:r>
              <w:rPr>
                <w:b/>
              </w:rPr>
              <w:t>3</w:t>
            </w:r>
          </w:p>
        </w:tc>
        <w:tc>
          <w:tcPr>
            <w:tcW w:w="4224" w:type="dxa"/>
            <w:vAlign w:val="center"/>
          </w:tcPr>
          <w:p w14:paraId="4733D7D2" w14:textId="0D59A9AC" w:rsidR="00726D7A" w:rsidRDefault="00A67B7B" w:rsidP="00571216">
            <w:pPr>
              <w:spacing w:before="60" w:after="60"/>
            </w:pPr>
            <w:r>
              <w:t>Amniotic fluid contains the oxygen a fetus needs to survive</w:t>
            </w:r>
            <w:r w:rsidR="004B5412">
              <w:t>.</w:t>
            </w:r>
          </w:p>
        </w:tc>
        <w:tc>
          <w:tcPr>
            <w:tcW w:w="1098" w:type="dxa"/>
            <w:vAlign w:val="center"/>
          </w:tcPr>
          <w:p w14:paraId="2AEB7705" w14:textId="77777777" w:rsidR="00726D7A" w:rsidRDefault="00726D7A" w:rsidP="00571216">
            <w:pPr>
              <w:spacing w:before="60" w:after="60"/>
              <w:jc w:val="center"/>
            </w:pPr>
          </w:p>
        </w:tc>
        <w:tc>
          <w:tcPr>
            <w:tcW w:w="1099" w:type="dxa"/>
            <w:vAlign w:val="center"/>
          </w:tcPr>
          <w:p w14:paraId="2641CB97" w14:textId="77777777" w:rsidR="00726D7A" w:rsidRDefault="00726D7A" w:rsidP="00571216">
            <w:pPr>
              <w:spacing w:before="60" w:after="60"/>
              <w:jc w:val="center"/>
            </w:pPr>
          </w:p>
        </w:tc>
        <w:tc>
          <w:tcPr>
            <w:tcW w:w="1098" w:type="dxa"/>
            <w:vAlign w:val="center"/>
          </w:tcPr>
          <w:p w14:paraId="452C325A" w14:textId="77777777" w:rsidR="00726D7A" w:rsidRDefault="00726D7A" w:rsidP="00571216">
            <w:pPr>
              <w:spacing w:before="60" w:after="60"/>
              <w:jc w:val="center"/>
            </w:pPr>
          </w:p>
        </w:tc>
        <w:tc>
          <w:tcPr>
            <w:tcW w:w="1099" w:type="dxa"/>
            <w:vAlign w:val="center"/>
          </w:tcPr>
          <w:p w14:paraId="4B948002" w14:textId="77777777" w:rsidR="00726D7A" w:rsidRDefault="00726D7A" w:rsidP="00571216">
            <w:pPr>
              <w:spacing w:before="60" w:after="60"/>
              <w:jc w:val="center"/>
            </w:pPr>
          </w:p>
        </w:tc>
      </w:tr>
      <w:tr w:rsidR="00726D7A" w14:paraId="5EF9EA00" w14:textId="77777777" w:rsidTr="00571216">
        <w:trPr>
          <w:trHeight w:val="680"/>
        </w:trPr>
        <w:tc>
          <w:tcPr>
            <w:tcW w:w="425" w:type="dxa"/>
            <w:vAlign w:val="center"/>
          </w:tcPr>
          <w:p w14:paraId="5F9CB834" w14:textId="460CF63E" w:rsidR="00726D7A" w:rsidRPr="009269FA" w:rsidRDefault="00AC5C7A" w:rsidP="00571216">
            <w:pPr>
              <w:spacing w:before="60" w:after="60"/>
              <w:jc w:val="center"/>
              <w:rPr>
                <w:b/>
              </w:rPr>
            </w:pPr>
            <w:r>
              <w:rPr>
                <w:b/>
              </w:rPr>
              <w:t>4</w:t>
            </w:r>
          </w:p>
        </w:tc>
        <w:tc>
          <w:tcPr>
            <w:tcW w:w="4224" w:type="dxa"/>
            <w:vAlign w:val="center"/>
          </w:tcPr>
          <w:p w14:paraId="1A5394DC" w14:textId="3AA36AE2" w:rsidR="00726D7A" w:rsidRDefault="00A67B7B" w:rsidP="00571216">
            <w:pPr>
              <w:spacing w:before="60" w:after="60"/>
            </w:pPr>
            <w:r>
              <w:t>The baby produces urine which it releases into the amniotic fluid</w:t>
            </w:r>
            <w:r w:rsidR="00B80647">
              <w:t>.</w:t>
            </w:r>
          </w:p>
        </w:tc>
        <w:tc>
          <w:tcPr>
            <w:tcW w:w="1098" w:type="dxa"/>
            <w:vAlign w:val="center"/>
          </w:tcPr>
          <w:p w14:paraId="138279F7" w14:textId="77777777" w:rsidR="00726D7A" w:rsidRDefault="00726D7A" w:rsidP="00571216">
            <w:pPr>
              <w:spacing w:before="60" w:after="60"/>
              <w:jc w:val="center"/>
            </w:pPr>
          </w:p>
        </w:tc>
        <w:tc>
          <w:tcPr>
            <w:tcW w:w="1099" w:type="dxa"/>
            <w:vAlign w:val="center"/>
          </w:tcPr>
          <w:p w14:paraId="0F8DBB7F" w14:textId="77777777" w:rsidR="00726D7A" w:rsidRDefault="00726D7A" w:rsidP="00571216">
            <w:pPr>
              <w:spacing w:before="60" w:after="60"/>
              <w:jc w:val="center"/>
            </w:pPr>
          </w:p>
        </w:tc>
        <w:tc>
          <w:tcPr>
            <w:tcW w:w="1098" w:type="dxa"/>
            <w:vAlign w:val="center"/>
          </w:tcPr>
          <w:p w14:paraId="4B5EA48B" w14:textId="77777777" w:rsidR="00726D7A" w:rsidRDefault="00726D7A" w:rsidP="00571216">
            <w:pPr>
              <w:spacing w:before="60" w:after="60"/>
              <w:jc w:val="center"/>
            </w:pPr>
          </w:p>
        </w:tc>
        <w:tc>
          <w:tcPr>
            <w:tcW w:w="1099" w:type="dxa"/>
            <w:vAlign w:val="center"/>
          </w:tcPr>
          <w:p w14:paraId="08DB4530" w14:textId="77777777" w:rsidR="00726D7A" w:rsidRDefault="00726D7A" w:rsidP="00571216">
            <w:pPr>
              <w:spacing w:before="60" w:after="60"/>
              <w:jc w:val="center"/>
            </w:pPr>
          </w:p>
        </w:tc>
      </w:tr>
      <w:tr w:rsidR="00A67B7B" w14:paraId="53A889EA" w14:textId="77777777" w:rsidTr="00571216">
        <w:trPr>
          <w:trHeight w:val="680"/>
        </w:trPr>
        <w:tc>
          <w:tcPr>
            <w:tcW w:w="425" w:type="dxa"/>
            <w:vAlign w:val="center"/>
          </w:tcPr>
          <w:p w14:paraId="334D10F5" w14:textId="5831D0FB" w:rsidR="00A67B7B" w:rsidRDefault="00AC5C7A" w:rsidP="00571216">
            <w:pPr>
              <w:spacing w:before="60" w:after="60"/>
              <w:jc w:val="center"/>
              <w:rPr>
                <w:b/>
              </w:rPr>
            </w:pPr>
            <w:r>
              <w:rPr>
                <w:b/>
              </w:rPr>
              <w:t>5</w:t>
            </w:r>
          </w:p>
        </w:tc>
        <w:tc>
          <w:tcPr>
            <w:tcW w:w="4224" w:type="dxa"/>
            <w:vAlign w:val="center"/>
          </w:tcPr>
          <w:p w14:paraId="2E905CCC" w14:textId="55C76ED1" w:rsidR="00A67B7B" w:rsidRDefault="00A67B7B" w:rsidP="00571216">
            <w:pPr>
              <w:spacing w:before="60" w:after="60"/>
            </w:pPr>
            <w:r>
              <w:t>To keep warm the fetus must move around.</w:t>
            </w:r>
          </w:p>
        </w:tc>
        <w:tc>
          <w:tcPr>
            <w:tcW w:w="1098" w:type="dxa"/>
            <w:vAlign w:val="center"/>
          </w:tcPr>
          <w:p w14:paraId="7344D71F" w14:textId="77777777" w:rsidR="00A67B7B" w:rsidRDefault="00A67B7B" w:rsidP="00571216">
            <w:pPr>
              <w:spacing w:before="60" w:after="60"/>
              <w:jc w:val="center"/>
            </w:pPr>
          </w:p>
        </w:tc>
        <w:tc>
          <w:tcPr>
            <w:tcW w:w="1099" w:type="dxa"/>
            <w:vAlign w:val="center"/>
          </w:tcPr>
          <w:p w14:paraId="32FDB85F" w14:textId="77777777" w:rsidR="00A67B7B" w:rsidRDefault="00A67B7B" w:rsidP="00571216">
            <w:pPr>
              <w:spacing w:before="60" w:after="60"/>
              <w:jc w:val="center"/>
            </w:pPr>
          </w:p>
        </w:tc>
        <w:tc>
          <w:tcPr>
            <w:tcW w:w="1098" w:type="dxa"/>
            <w:vAlign w:val="center"/>
          </w:tcPr>
          <w:p w14:paraId="4A96F4F2" w14:textId="77777777" w:rsidR="00A67B7B" w:rsidRDefault="00A67B7B" w:rsidP="00571216">
            <w:pPr>
              <w:spacing w:before="60" w:after="60"/>
              <w:jc w:val="center"/>
            </w:pPr>
          </w:p>
        </w:tc>
        <w:tc>
          <w:tcPr>
            <w:tcW w:w="1099" w:type="dxa"/>
            <w:vAlign w:val="center"/>
          </w:tcPr>
          <w:p w14:paraId="1C3FB8FD" w14:textId="77777777" w:rsidR="00A67B7B" w:rsidRDefault="00A67B7B" w:rsidP="00571216">
            <w:pPr>
              <w:spacing w:before="60" w:after="60"/>
              <w:jc w:val="center"/>
            </w:pPr>
          </w:p>
        </w:tc>
      </w:tr>
    </w:tbl>
    <w:p w14:paraId="3492D83E" w14:textId="77777777" w:rsidR="00201AC2" w:rsidRDefault="00201AC2" w:rsidP="006F3279">
      <w:pPr>
        <w:spacing w:after="240"/>
        <w:rPr>
          <w:szCs w:val="18"/>
        </w:rPr>
      </w:pPr>
    </w:p>
    <w:p w14:paraId="007E9EFD" w14:textId="77777777" w:rsidR="00726D7A" w:rsidRDefault="00726D7A" w:rsidP="006F3279">
      <w:pPr>
        <w:spacing w:after="240"/>
        <w:rPr>
          <w:szCs w:val="18"/>
        </w:rPr>
      </w:pPr>
    </w:p>
    <w:p w14:paraId="14A608EF" w14:textId="77777777" w:rsidR="00726D7A" w:rsidRPr="00201AC2" w:rsidRDefault="00726D7A" w:rsidP="006F3279">
      <w:pPr>
        <w:spacing w:after="240"/>
        <w:rPr>
          <w:szCs w:val="18"/>
        </w:rPr>
        <w:sectPr w:rsidR="00726D7A" w:rsidRPr="00201AC2" w:rsidSect="00642ECD">
          <w:headerReference w:type="default" r:id="rId8"/>
          <w:footerReference w:type="default" r:id="rId9"/>
          <w:pgSz w:w="11906" w:h="16838" w:code="9"/>
          <w:pgMar w:top="1440" w:right="1440" w:bottom="1440" w:left="1440" w:header="709" w:footer="567" w:gutter="0"/>
          <w:cols w:space="708"/>
          <w:docGrid w:linePitch="360"/>
        </w:sectPr>
      </w:pPr>
    </w:p>
    <w:p w14:paraId="060D4768" w14:textId="455E7126" w:rsidR="00963930" w:rsidRPr="006F3279" w:rsidRDefault="00963930" w:rsidP="00963930">
      <w:pPr>
        <w:spacing w:after="240"/>
        <w:rPr>
          <w:i/>
          <w:sz w:val="18"/>
          <w:szCs w:val="18"/>
        </w:rPr>
      </w:pPr>
      <w:bookmarkStart w:id="0" w:name="_Hlk17107154"/>
      <w:r w:rsidRPr="00CA4B46">
        <w:rPr>
          <w:i/>
          <w:sz w:val="18"/>
          <w:szCs w:val="18"/>
        </w:rPr>
        <w:lastRenderedPageBreak/>
        <w:t xml:space="preserve">Biology &gt; </w:t>
      </w:r>
      <w:r>
        <w:rPr>
          <w:i/>
          <w:sz w:val="18"/>
          <w:szCs w:val="18"/>
        </w:rPr>
        <w:t xml:space="preserve">Big idea: Heredity and </w:t>
      </w:r>
      <w:r w:rsidR="00AC5C7A">
        <w:rPr>
          <w:i/>
          <w:sz w:val="18"/>
          <w:szCs w:val="18"/>
        </w:rPr>
        <w:t>l</w:t>
      </w:r>
      <w:r>
        <w:rPr>
          <w:i/>
          <w:sz w:val="18"/>
          <w:szCs w:val="18"/>
        </w:rPr>
        <w:t xml:space="preserve">ife </w:t>
      </w:r>
      <w:r w:rsidR="00AC5C7A">
        <w:rPr>
          <w:i/>
          <w:sz w:val="18"/>
          <w:szCs w:val="18"/>
        </w:rPr>
        <w:t>c</w:t>
      </w:r>
      <w:r>
        <w:rPr>
          <w:i/>
          <w:sz w:val="18"/>
          <w:szCs w:val="18"/>
        </w:rPr>
        <w:t xml:space="preserve">ycles &gt; Topic </w:t>
      </w:r>
      <w:r w:rsidRPr="009E222E">
        <w:rPr>
          <w:i/>
          <w:sz w:val="18"/>
          <w:szCs w:val="18"/>
        </w:rPr>
        <w:t>BHL3:</w:t>
      </w:r>
      <w:r>
        <w:rPr>
          <w:i/>
          <w:sz w:val="18"/>
          <w:szCs w:val="18"/>
        </w:rPr>
        <w:t xml:space="preserve"> Reproduction </w:t>
      </w:r>
      <w:r w:rsidRPr="00CA4B46">
        <w:rPr>
          <w:i/>
          <w:sz w:val="18"/>
          <w:szCs w:val="18"/>
        </w:rPr>
        <w:t xml:space="preserve">&gt; </w:t>
      </w:r>
      <w:r>
        <w:rPr>
          <w:i/>
          <w:sz w:val="18"/>
          <w:szCs w:val="18"/>
        </w:rPr>
        <w:t>Key concept</w:t>
      </w:r>
      <w:r w:rsidRPr="00CA4B46">
        <w:rPr>
          <w:i/>
          <w:sz w:val="18"/>
          <w:szCs w:val="18"/>
        </w:rPr>
        <w:t xml:space="preserve"> </w:t>
      </w:r>
      <w:r w:rsidRPr="009E222E">
        <w:rPr>
          <w:i/>
          <w:sz w:val="18"/>
          <w:szCs w:val="18"/>
        </w:rPr>
        <w:t>BHL3.1</w:t>
      </w:r>
      <w:r w:rsidRPr="00CA4B46">
        <w:rPr>
          <w:i/>
          <w:sz w:val="18"/>
          <w:szCs w:val="18"/>
        </w:rPr>
        <w:t>:</w:t>
      </w:r>
      <w:r w:rsidRPr="0010348F">
        <w:rPr>
          <w:i/>
          <w:sz w:val="18"/>
          <w:szCs w:val="18"/>
        </w:rPr>
        <w:t xml:space="preserve"> </w:t>
      </w:r>
      <w:r>
        <w:rPr>
          <w:i/>
          <w:sz w:val="18"/>
          <w:szCs w:val="18"/>
        </w:rPr>
        <w:t xml:space="preserve">Sexual </w:t>
      </w:r>
      <w:r w:rsidR="00AC5C7A">
        <w:rPr>
          <w:i/>
          <w:sz w:val="18"/>
          <w:szCs w:val="18"/>
        </w:rPr>
        <w:t>r</w:t>
      </w:r>
      <w:r>
        <w:rPr>
          <w:i/>
          <w:sz w:val="18"/>
          <w:szCs w:val="18"/>
        </w:rPr>
        <w:t>eproduction in humans</w:t>
      </w:r>
      <w:bookmarkEnd w:id="0"/>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14:paraId="54720FB9" w14:textId="77777777" w:rsidTr="006355D8">
        <w:tc>
          <w:tcPr>
            <w:tcW w:w="12021" w:type="dxa"/>
            <w:shd w:val="clear" w:color="auto" w:fill="C2D69B" w:themeFill="accent3" w:themeFillTint="99"/>
          </w:tcPr>
          <w:p w14:paraId="72E4F403" w14:textId="77777777"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14:paraId="34CE2E8C" w14:textId="77777777" w:rsidTr="006355D8">
        <w:tc>
          <w:tcPr>
            <w:tcW w:w="12021" w:type="dxa"/>
            <w:shd w:val="clear" w:color="auto" w:fill="D6E3BC" w:themeFill="accent3" w:themeFillTint="66"/>
          </w:tcPr>
          <w:p w14:paraId="36D21721" w14:textId="58ECBB92" w:rsidR="006F3279" w:rsidRPr="00CA4B46" w:rsidRDefault="00F13FEA" w:rsidP="00F13FEA">
            <w:pPr>
              <w:spacing w:after="60"/>
              <w:ind w:left="1304"/>
              <w:rPr>
                <w:b/>
                <w:sz w:val="40"/>
                <w:szCs w:val="40"/>
              </w:rPr>
            </w:pPr>
            <w:r>
              <w:rPr>
                <w:b/>
                <w:sz w:val="40"/>
                <w:szCs w:val="40"/>
              </w:rPr>
              <w:t>D</w:t>
            </w:r>
            <w:r w:rsidR="00211F6E">
              <w:rPr>
                <w:b/>
                <w:sz w:val="40"/>
                <w:szCs w:val="40"/>
              </w:rPr>
              <w:t xml:space="preserve">eveloping </w:t>
            </w:r>
            <w:r>
              <w:rPr>
                <w:b/>
                <w:sz w:val="40"/>
                <w:szCs w:val="40"/>
              </w:rPr>
              <w:t>needs</w:t>
            </w:r>
          </w:p>
        </w:tc>
      </w:tr>
    </w:tbl>
    <w:p w14:paraId="64DC775D" w14:textId="77777777" w:rsidR="006F3279" w:rsidRDefault="006F3279" w:rsidP="00C3748B">
      <w:pPr>
        <w:rPr>
          <w:b/>
        </w:rPr>
      </w:pPr>
    </w:p>
    <w:p w14:paraId="78DC2810" w14:textId="77777777"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3F16F9" w14:paraId="7DF96280" w14:textId="77777777" w:rsidTr="003F16F9">
        <w:trPr>
          <w:trHeight w:val="340"/>
        </w:trPr>
        <w:tc>
          <w:tcPr>
            <w:tcW w:w="2196" w:type="dxa"/>
          </w:tcPr>
          <w:p w14:paraId="30F9E2A1" w14:textId="77777777" w:rsidR="003F16F9" w:rsidRDefault="003F16F9" w:rsidP="00C30819">
            <w:pPr>
              <w:spacing w:before="60" w:after="60"/>
            </w:pPr>
            <w:r>
              <w:t xml:space="preserve">Learning </w:t>
            </w:r>
            <w:r w:rsidR="00C30819">
              <w:t>focus</w:t>
            </w:r>
            <w:r>
              <w:t>:</w:t>
            </w:r>
          </w:p>
        </w:tc>
        <w:tc>
          <w:tcPr>
            <w:tcW w:w="6820" w:type="dxa"/>
          </w:tcPr>
          <w:p w14:paraId="7D77F4DB" w14:textId="73826946" w:rsidR="003F16F9" w:rsidRDefault="00F13FEA" w:rsidP="0007651D">
            <w:pPr>
              <w:spacing w:before="60" w:after="60"/>
            </w:pPr>
            <w:r w:rsidRPr="00F13FEA">
              <w:t>The human male and female reproductive systems produce and release gametes which come together during sexual reproduction, and if an ovum is fertilised by a sperm a fetus develops in the uterus of the female.</w:t>
            </w:r>
          </w:p>
        </w:tc>
      </w:tr>
      <w:tr w:rsidR="003F16F9" w14:paraId="70B90FF2" w14:textId="77777777" w:rsidTr="003F16F9">
        <w:trPr>
          <w:trHeight w:val="340"/>
        </w:trPr>
        <w:tc>
          <w:tcPr>
            <w:tcW w:w="2196" w:type="dxa"/>
          </w:tcPr>
          <w:p w14:paraId="6344CCE5" w14:textId="77777777" w:rsidR="003F16F9" w:rsidRDefault="00B75483" w:rsidP="003F16F9">
            <w:pPr>
              <w:spacing w:before="60" w:after="60"/>
            </w:pPr>
            <w:r>
              <w:t>Observable learning outcome</w:t>
            </w:r>
            <w:r w:rsidR="003F16F9">
              <w:t>:</w:t>
            </w:r>
          </w:p>
        </w:tc>
        <w:tc>
          <w:tcPr>
            <w:tcW w:w="6820" w:type="dxa"/>
          </w:tcPr>
          <w:p w14:paraId="61756BE5" w14:textId="7F7CA213" w:rsidR="003F16F9" w:rsidRPr="00A50C9C" w:rsidRDefault="00F13FEA" w:rsidP="0007651D">
            <w:pPr>
              <w:spacing w:before="60" w:after="60"/>
              <w:rPr>
                <w:b/>
              </w:rPr>
            </w:pPr>
            <w:r w:rsidRPr="00F13FEA">
              <w:t>Describe the role of the umbilical cord, placenta and amniotic fluid in fetal development.</w:t>
            </w:r>
          </w:p>
        </w:tc>
      </w:tr>
      <w:tr w:rsidR="000505CA" w14:paraId="42C84DA5" w14:textId="77777777" w:rsidTr="003F16F9">
        <w:trPr>
          <w:trHeight w:val="340"/>
        </w:trPr>
        <w:tc>
          <w:tcPr>
            <w:tcW w:w="2196" w:type="dxa"/>
          </w:tcPr>
          <w:p w14:paraId="06A5BC5D" w14:textId="77777777" w:rsidR="000505CA" w:rsidRDefault="00431AE5" w:rsidP="000505CA">
            <w:pPr>
              <w:spacing w:before="60" w:after="60"/>
            </w:pPr>
            <w:r>
              <w:t>Question</w:t>
            </w:r>
            <w:r w:rsidR="000505CA">
              <w:t xml:space="preserve"> type:</w:t>
            </w:r>
          </w:p>
        </w:tc>
        <w:tc>
          <w:tcPr>
            <w:tcW w:w="6820" w:type="dxa"/>
          </w:tcPr>
          <w:p w14:paraId="1F380298" w14:textId="77777777" w:rsidR="000505CA" w:rsidRDefault="00726D7A" w:rsidP="0021607B">
            <w:pPr>
              <w:spacing w:before="60" w:after="60"/>
            </w:pPr>
            <w:r>
              <w:t>Confidence grid</w:t>
            </w:r>
          </w:p>
        </w:tc>
      </w:tr>
      <w:tr w:rsidR="000505CA" w14:paraId="1E3BA69A" w14:textId="77777777" w:rsidTr="003F16F9">
        <w:trPr>
          <w:trHeight w:val="340"/>
        </w:trPr>
        <w:tc>
          <w:tcPr>
            <w:tcW w:w="2196" w:type="dxa"/>
          </w:tcPr>
          <w:p w14:paraId="19579746" w14:textId="77777777" w:rsidR="000505CA" w:rsidRDefault="000505CA" w:rsidP="000505CA">
            <w:pPr>
              <w:spacing w:before="60" w:after="60"/>
            </w:pPr>
            <w:r>
              <w:t>Key words:</w:t>
            </w:r>
          </w:p>
        </w:tc>
        <w:tc>
          <w:tcPr>
            <w:tcW w:w="6820" w:type="dxa"/>
            <w:tcBorders>
              <w:bottom w:val="dotted" w:sz="4" w:space="0" w:color="auto"/>
            </w:tcBorders>
          </w:tcPr>
          <w:p w14:paraId="50531439" w14:textId="129CEED8" w:rsidR="000505CA" w:rsidRDefault="00D92BC4" w:rsidP="00F13FEA">
            <w:pPr>
              <w:spacing w:before="60" w:after="60"/>
            </w:pPr>
            <w:r>
              <w:t xml:space="preserve">amniotic fluid, placenta, umbilical cord, </w:t>
            </w:r>
            <w:r w:rsidR="00E4084A">
              <w:t xml:space="preserve">fetus, </w:t>
            </w:r>
            <w:r w:rsidR="00E4084A">
              <w:t xml:space="preserve">pregnancy, </w:t>
            </w:r>
            <w:r w:rsidR="00F13FEA">
              <w:t>gestation, reproduction</w:t>
            </w:r>
          </w:p>
        </w:tc>
      </w:tr>
    </w:tbl>
    <w:p w14:paraId="47E0B7E8" w14:textId="77777777" w:rsidR="00F72ECC" w:rsidRDefault="00F72ECC" w:rsidP="00F72ECC"/>
    <w:p w14:paraId="12FC0FFB" w14:textId="71714F46" w:rsidR="00C05571" w:rsidRDefault="00BB44B4" w:rsidP="00026DEC">
      <w:pPr>
        <w:spacing w:after="180"/>
        <w:rPr>
          <w:b/>
          <w:color w:val="538135"/>
          <w:sz w:val="24"/>
        </w:rPr>
      </w:pPr>
      <w:r w:rsidRPr="005B372A">
        <w:rPr>
          <w:b/>
          <w:color w:val="538135"/>
          <w:sz w:val="24"/>
        </w:rPr>
        <w:t>What does the research say</w:t>
      </w:r>
      <w:r w:rsidR="00C05571" w:rsidRPr="005B372A">
        <w:rPr>
          <w:b/>
          <w:color w:val="538135"/>
          <w:sz w:val="24"/>
        </w:rPr>
        <w:t>?</w:t>
      </w:r>
    </w:p>
    <w:p w14:paraId="2BACB1C2" w14:textId="77777777" w:rsidR="003C1162" w:rsidRDefault="003C1162" w:rsidP="003C1162">
      <w:pPr>
        <w:spacing w:after="120"/>
        <w:rPr>
          <w:b/>
          <w:color w:val="538135"/>
          <w:sz w:val="24"/>
        </w:rPr>
      </w:pPr>
      <w:r>
        <w:t xml:space="preserve">It would seem that children have a desire to know more about the development of the embryo and fetus following conception and implantation. Children participating in Zimvrakaki </w:t>
      </w:r>
      <w:r>
        <w:fldChar w:fldCharType="begin"/>
      </w:r>
      <w:r>
        <w:instrText xml:space="preserve"> ADDIN EN.CITE &lt;EndNote&gt;&lt;Cite ExcludeAuth="1"&gt;&lt;Author&gt;Zimvrakaki&lt;/Author&gt;&lt;Year&gt;2004&lt;/Year&gt;&lt;IDText&gt;Children&amp;apos;s representations about their body and sexual development&lt;/IDText&gt;&lt;DisplayText&gt;(2004)&lt;/DisplayText&gt;&lt;record&gt;&lt;titles&gt;&lt;title&gt;Children&amp;apos;s representations about their body and sexual development&lt;/title&gt;&lt;secondary-title&gt;ERIDOB&lt;/secondary-title&gt;&lt;/titles&gt;&lt;pages&gt;371-381&lt;/pages&gt;&lt;contributors&gt;&lt;authors&gt;&lt;author&gt;Zimvrakaki, E.&lt;/author&gt;&lt;author&gt;Athanasiou, K.&lt;/author&gt;&lt;/authors&gt;&lt;/contributors&gt;&lt;added-date format="utc"&gt;1566208336&lt;/added-date&gt;&lt;pub-location&gt;Patras- Greece&lt;/pub-location&gt;&lt;ref-type name="Conference Paper"&gt;47&lt;/ref-type&gt;&lt;dates&gt;&lt;year&gt;2004&lt;/year&gt;&lt;/dates&gt;&lt;rec-number&gt;87&lt;/rec-number&gt;&lt;publisher&gt;Patras University Press&lt;/publisher&gt;&lt;last-updated-date format="utc"&gt;1566208545&lt;/last-updated-date&gt;&lt;/record&gt;&lt;/Cite&gt;&lt;/EndNote&gt;</w:instrText>
      </w:r>
      <w:r>
        <w:fldChar w:fldCharType="separate"/>
      </w:r>
      <w:r>
        <w:rPr>
          <w:noProof/>
        </w:rPr>
        <w:t>(2004)</w:t>
      </w:r>
      <w:r>
        <w:fldChar w:fldCharType="end"/>
      </w:r>
      <w:r>
        <w:t xml:space="preserve"> research into children’s representations about their body and sexual development requested more information about the reproductive system and the development of the embryo, listing information on how the embryo breaths and gets air as being one area where they felt their knowledge was lacking.</w:t>
      </w:r>
    </w:p>
    <w:p w14:paraId="37FBD532" w14:textId="1B2C3C77" w:rsidR="00295C3F" w:rsidRPr="00295C3F" w:rsidRDefault="003C1162" w:rsidP="003C1162">
      <w:pPr>
        <w:spacing w:after="180"/>
      </w:pPr>
      <w:r w:rsidRPr="00295C3F">
        <w:t xml:space="preserve">Franse et al. </w:t>
      </w:r>
      <w:r w:rsidRPr="00295C3F">
        <w:fldChar w:fldCharType="begin"/>
      </w:r>
      <w:r>
        <w:instrText xml:space="preserve"> ADDIN EN.CITE &lt;EndNote&gt;&lt;Cite ExcludeAuth="1"&gt;&lt;Author&gt;Franse&lt;/Author&gt;&lt;Year&gt;2009&lt;/Year&gt;&lt;IDText&gt;Children&amp;apos;s thoughts on unborn babies. Representational redescription in preconceptions of children on fetal development.&lt;/IDText&gt;&lt;DisplayText&gt;(2009)&lt;/DisplayText&gt;&lt;record&gt;&lt;titles&gt;&lt;title&gt;Children&amp;apos;s thoughts on unborn babies. Representational redescription in preconceptions of children on fetal development.&lt;/title&gt;&lt;secondary-title&gt;Proceedings of the Annual Meeting of the Cognitive Science Society&lt;/secondary-title&gt;&lt;/titles&gt;&lt;number&gt;31&lt;/number&gt;&lt;contributors&gt;&lt;authors&gt;&lt;author&gt;Franse, Roos. Rajimakers, Maartje.&lt;/author&gt;&lt;author&gt;Van Es, Sara.E.&lt;/author&gt;&lt;author&gt;Van Schijndel, Tessa J.P.&lt;/author&gt;&lt;/authors&gt;&lt;/contributors&gt;&lt;added-date format="utc"&gt;1566553137&lt;/added-date&gt;&lt;ref-type name="Journal Article"&gt;17&lt;/ref-type&gt;&lt;dates&gt;&lt;year&gt;2009&lt;/year&gt;&lt;/dates&gt;&lt;rec-number&gt;92&lt;/rec-number&gt;&lt;last-updated-date format="utc"&gt;1566553518&lt;/last-updated-date&gt;&lt;volume&gt;31&lt;/volume&gt;&lt;/record&gt;&lt;/Cite&gt;&lt;/EndNote&gt;</w:instrText>
      </w:r>
      <w:r w:rsidRPr="00295C3F">
        <w:fldChar w:fldCharType="separate"/>
      </w:r>
      <w:r>
        <w:rPr>
          <w:noProof/>
        </w:rPr>
        <w:t>(2009)</w:t>
      </w:r>
      <w:r w:rsidRPr="00295C3F">
        <w:fldChar w:fldCharType="end"/>
      </w:r>
      <w:r w:rsidRPr="00295C3F">
        <w:t xml:space="preserve"> </w:t>
      </w:r>
      <w:r>
        <w:t xml:space="preserve">conducted a </w:t>
      </w:r>
      <w:r w:rsidRPr="00295C3F">
        <w:t>study on children’s thoughts on unborn babies</w:t>
      </w:r>
      <w:r>
        <w:t xml:space="preserve">, and </w:t>
      </w:r>
      <w:r w:rsidRPr="00295C3F">
        <w:t>note</w:t>
      </w:r>
      <w:r>
        <w:t xml:space="preserve">d </w:t>
      </w:r>
      <w:r w:rsidRPr="00295C3F">
        <w:t xml:space="preserve">that literature on children’s preconceptions on fetal development is scarce. </w:t>
      </w:r>
      <w:r>
        <w:t>Their study</w:t>
      </w:r>
      <w:r w:rsidRPr="00295C3F">
        <w:t xml:space="preserve"> examines whether children have a coherent</w:t>
      </w:r>
      <w:r>
        <w:t>, naïve theory or fragmented knowledge</w:t>
      </w:r>
      <w:r w:rsidRPr="00295C3F">
        <w:t xml:space="preserve"> of </w:t>
      </w:r>
      <w:r>
        <w:t>prenatal</w:t>
      </w:r>
      <w:r w:rsidRPr="00295C3F">
        <w:t xml:space="preserve"> development</w:t>
      </w:r>
      <w:r>
        <w:t>,</w:t>
      </w:r>
      <w:r w:rsidRPr="00295C3F">
        <w:t xml:space="preserve"> and concludes that </w:t>
      </w:r>
      <w:r>
        <w:t xml:space="preserve">children </w:t>
      </w:r>
      <w:r w:rsidRPr="00295C3F">
        <w:t xml:space="preserve">have a more coherent theory for changing morphology than for changing bodily function, with the latter being more fragmented. </w:t>
      </w:r>
      <w:r>
        <w:t>Topics investigated in the bodily function aspect of the research related to breathing, drinking and maintaining body temperature.</w:t>
      </w:r>
    </w:p>
    <w:p w14:paraId="27E2B28E" w14:textId="6B8FE002" w:rsidR="00FD60D7" w:rsidRDefault="007A748B" w:rsidP="00FD60D7">
      <w:pPr>
        <w:spacing w:after="180"/>
        <w:rPr>
          <w:highlight w:val="yellow"/>
        </w:rPr>
      </w:pPr>
      <w:r w:rsidRPr="005B372A">
        <w:rPr>
          <w:b/>
          <w:color w:val="538135"/>
          <w:sz w:val="24"/>
        </w:rPr>
        <w:t xml:space="preserve">Ways to use this </w:t>
      </w:r>
      <w:r w:rsidR="00641E99" w:rsidRPr="005B372A">
        <w:rPr>
          <w:b/>
          <w:color w:val="538135"/>
          <w:sz w:val="24"/>
        </w:rPr>
        <w:t>question</w:t>
      </w:r>
      <w:r w:rsidR="00EF30F1">
        <w:rPr>
          <w:b/>
          <w:color w:val="538135"/>
          <w:sz w:val="24"/>
        </w:rPr>
        <w:t xml:space="preserve"> </w:t>
      </w:r>
    </w:p>
    <w:p w14:paraId="3EE8B88B" w14:textId="0991A13E" w:rsidR="00EF30F1" w:rsidRDefault="00EF30F1" w:rsidP="00EF30F1">
      <w:pPr>
        <w:spacing w:after="120"/>
      </w:pPr>
      <w:r>
        <w:t xml:space="preserve">Students should complete </w:t>
      </w:r>
      <w:r w:rsidRPr="00295C3F">
        <w:t xml:space="preserve">the </w:t>
      </w:r>
      <w:r w:rsidR="00726D7A" w:rsidRPr="00295C3F">
        <w:t>c</w:t>
      </w:r>
      <w:r w:rsidR="00726D7A">
        <w:t>onfidence grid</w:t>
      </w:r>
      <w:r w:rsidR="00A67B7B">
        <w:t xml:space="preserve"> </w:t>
      </w:r>
      <w:r>
        <w:t>individually. This could be a pencil and paper exercise, or you could use the presentation with an electronic voting system or mini white boards.</w:t>
      </w:r>
    </w:p>
    <w:p w14:paraId="00FC86DD" w14:textId="77777777" w:rsidR="00EF30F1" w:rsidRPr="00934C98" w:rsidRDefault="00EF30F1" w:rsidP="00EF30F1">
      <w:pPr>
        <w:spacing w:after="120"/>
        <w:rPr>
          <w:i/>
        </w:rPr>
      </w:pPr>
      <w:r w:rsidRPr="00934C98">
        <w:rPr>
          <w:i/>
        </w:rPr>
        <w:t>Differentiation</w:t>
      </w:r>
    </w:p>
    <w:p w14:paraId="72CE8202" w14:textId="710F1681" w:rsidR="00EF30F1" w:rsidRDefault="00EF30F1" w:rsidP="00EF30F1">
      <w:pPr>
        <w:spacing w:after="180"/>
      </w:pPr>
      <w:r>
        <w:t>You may choose to read the question</w:t>
      </w:r>
      <w:r w:rsidR="00A67B7B">
        <w:t xml:space="preserve"> </w:t>
      </w:r>
      <w:r>
        <w:t>to the class, so that everyone can focus on the science. In some situations it may be more appropriate for a teaching assistant to read for one or two students.</w:t>
      </w:r>
    </w:p>
    <w:p w14:paraId="48DDBFD7" w14:textId="6A364477" w:rsidR="00E172C6" w:rsidRDefault="00BB44B4" w:rsidP="00026DEC">
      <w:pPr>
        <w:spacing w:after="180"/>
        <w:rPr>
          <w:b/>
          <w:color w:val="538135"/>
          <w:sz w:val="24"/>
        </w:rPr>
      </w:pPr>
      <w:r w:rsidRPr="005B372A">
        <w:rPr>
          <w:b/>
          <w:color w:val="538135"/>
          <w:sz w:val="24"/>
        </w:rPr>
        <w:t>Expected answers</w:t>
      </w:r>
    </w:p>
    <w:p w14:paraId="3EED8397" w14:textId="2BA792BE" w:rsidR="00FA4FE5" w:rsidRPr="003C1162" w:rsidRDefault="00FA4FE5" w:rsidP="003C1162">
      <w:pPr>
        <w:pStyle w:val="ListParagraph"/>
        <w:numPr>
          <w:ilvl w:val="0"/>
          <w:numId w:val="5"/>
        </w:numPr>
        <w:spacing w:after="180"/>
        <w:ind w:left="426"/>
        <w:rPr>
          <w:sz w:val="24"/>
        </w:rPr>
      </w:pPr>
      <w:r w:rsidRPr="003C1162">
        <w:t>The mother</w:t>
      </w:r>
      <w:r w:rsidR="003C1162">
        <w:t>’</w:t>
      </w:r>
      <w:r w:rsidRPr="003C1162">
        <w:t xml:space="preserve">s blood takes nutrients to the developing fetus – </w:t>
      </w:r>
      <w:r w:rsidRPr="003C1162">
        <w:rPr>
          <w:b/>
          <w:bCs/>
        </w:rPr>
        <w:t>wrong</w:t>
      </w:r>
    </w:p>
    <w:p w14:paraId="7C7CD777" w14:textId="35192429" w:rsidR="00FA4FE5" w:rsidRPr="003C1162" w:rsidRDefault="003C1162" w:rsidP="003C1162">
      <w:pPr>
        <w:pStyle w:val="ListParagraph"/>
        <w:numPr>
          <w:ilvl w:val="0"/>
          <w:numId w:val="5"/>
        </w:numPr>
        <w:spacing w:after="180"/>
        <w:ind w:left="426"/>
        <w:rPr>
          <w:sz w:val="24"/>
        </w:rPr>
      </w:pPr>
      <w:r w:rsidRPr="003C1162">
        <w:t>T</w:t>
      </w:r>
      <w:r w:rsidR="00FA4FE5" w:rsidRPr="003C1162">
        <w:t xml:space="preserve">he fetus breathes in amniotic fluid </w:t>
      </w:r>
      <w:r w:rsidRPr="003C1162">
        <w:t>–</w:t>
      </w:r>
      <w:r>
        <w:t xml:space="preserve"> </w:t>
      </w:r>
      <w:r w:rsidR="00FA4FE5" w:rsidRPr="003C1162">
        <w:rPr>
          <w:b/>
          <w:bCs/>
        </w:rPr>
        <w:t>right</w:t>
      </w:r>
      <w:r w:rsidR="00FA4FE5" w:rsidRPr="003C1162">
        <w:rPr>
          <w:bCs/>
        </w:rPr>
        <w:t xml:space="preserve"> </w:t>
      </w:r>
      <w:r>
        <w:t>(in later pregnancy)</w:t>
      </w:r>
    </w:p>
    <w:p w14:paraId="46DBB852" w14:textId="516F96A4" w:rsidR="00D92BC4" w:rsidRPr="003C1162" w:rsidRDefault="00FA4FE5" w:rsidP="003C1162">
      <w:pPr>
        <w:pStyle w:val="ListParagraph"/>
        <w:numPr>
          <w:ilvl w:val="0"/>
          <w:numId w:val="5"/>
        </w:numPr>
        <w:spacing w:after="180"/>
        <w:ind w:left="426"/>
        <w:rPr>
          <w:sz w:val="24"/>
        </w:rPr>
      </w:pPr>
      <w:r w:rsidRPr="003C1162">
        <w:t>Amniotic fluid contains the oxygen a fetus needs to survive</w:t>
      </w:r>
      <w:r w:rsidR="00D92BC4" w:rsidRPr="003C1162">
        <w:t xml:space="preserve"> </w:t>
      </w:r>
      <w:r w:rsidR="003C1162" w:rsidRPr="003C1162">
        <w:t>–</w:t>
      </w:r>
      <w:r w:rsidR="00D92BC4" w:rsidRPr="003C1162">
        <w:t xml:space="preserve"> </w:t>
      </w:r>
      <w:r w:rsidR="00D92BC4" w:rsidRPr="003C1162">
        <w:rPr>
          <w:b/>
          <w:bCs/>
        </w:rPr>
        <w:t>wrong</w:t>
      </w:r>
    </w:p>
    <w:p w14:paraId="721FA88D" w14:textId="1A210364" w:rsidR="00FA4FE5" w:rsidRPr="003C1162" w:rsidRDefault="00295C3F" w:rsidP="003C1162">
      <w:pPr>
        <w:pStyle w:val="ListParagraph"/>
        <w:numPr>
          <w:ilvl w:val="0"/>
          <w:numId w:val="5"/>
        </w:numPr>
        <w:spacing w:after="180"/>
        <w:ind w:left="426"/>
        <w:rPr>
          <w:sz w:val="24"/>
        </w:rPr>
      </w:pPr>
      <w:r w:rsidRPr="003C1162">
        <w:t>The baby produces urine which it releases in</w:t>
      </w:r>
      <w:r w:rsidR="003C1162">
        <w:t xml:space="preserve">to the amniotic fluid – </w:t>
      </w:r>
      <w:r w:rsidRPr="003C1162">
        <w:rPr>
          <w:b/>
          <w:bCs/>
        </w:rPr>
        <w:t>right</w:t>
      </w:r>
    </w:p>
    <w:p w14:paraId="090717AA" w14:textId="5FBA1410" w:rsidR="003C1162" w:rsidRPr="00C3748B" w:rsidRDefault="00295C3F" w:rsidP="008A2ED3">
      <w:pPr>
        <w:pStyle w:val="ListParagraph"/>
        <w:numPr>
          <w:ilvl w:val="0"/>
          <w:numId w:val="5"/>
        </w:numPr>
        <w:spacing w:after="200" w:line="276" w:lineRule="auto"/>
        <w:ind w:left="426"/>
        <w:rPr>
          <w:color w:val="000000" w:themeColor="text1"/>
          <w:sz w:val="24"/>
        </w:rPr>
      </w:pPr>
      <w:r w:rsidRPr="00C3748B">
        <w:rPr>
          <w:color w:val="000000" w:themeColor="text1"/>
        </w:rPr>
        <w:t>To keep warm the f</w:t>
      </w:r>
      <w:r w:rsidR="003C1162" w:rsidRPr="00C3748B">
        <w:rPr>
          <w:color w:val="000000" w:themeColor="text1"/>
        </w:rPr>
        <w:t xml:space="preserve">etus must move around – </w:t>
      </w:r>
      <w:r w:rsidRPr="00C3748B">
        <w:rPr>
          <w:b/>
          <w:bCs/>
          <w:color w:val="000000" w:themeColor="text1"/>
        </w:rPr>
        <w:t>wrong</w:t>
      </w:r>
    </w:p>
    <w:p w14:paraId="321A7E73" w14:textId="594D6420" w:rsidR="006A4440" w:rsidRPr="005B372A" w:rsidRDefault="004C5D20" w:rsidP="00BF6C8A">
      <w:pPr>
        <w:spacing w:after="180"/>
        <w:rPr>
          <w:b/>
          <w:color w:val="538135"/>
          <w:sz w:val="24"/>
        </w:rPr>
      </w:pPr>
      <w:r w:rsidRPr="005B372A">
        <w:rPr>
          <w:b/>
          <w:color w:val="538135"/>
          <w:sz w:val="24"/>
        </w:rPr>
        <w:lastRenderedPageBreak/>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14:paraId="4C56813D" w14:textId="77777777" w:rsidR="00017D93" w:rsidRDefault="00017D93" w:rsidP="00017D93">
      <w:pPr>
        <w:spacing w:after="180"/>
      </w:pPr>
      <w:r w:rsidRPr="00017D93">
        <w:t>If there is a range of answers, you may choose t</w:t>
      </w:r>
      <w:bookmarkStart w:id="1" w:name="_GoBack"/>
      <w:bookmarkEnd w:id="1"/>
      <w:r w:rsidRPr="00017D93">
        <w: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Responses often work best when the activities involve paired or small group discussions, which encourage social construction of new ideas (meaning making) through dialogue.</w:t>
      </w:r>
    </w:p>
    <w:p w14:paraId="716C2D77" w14:textId="7E04AF5E" w:rsidR="00D92BC4" w:rsidRDefault="00D92BC4" w:rsidP="00D92BC4">
      <w:pPr>
        <w:spacing w:after="180"/>
      </w:pPr>
      <w:r w:rsidRPr="00DA39ED">
        <w:t xml:space="preserve">This activity will identify if students have any misunderstandings about the role of the placenta, umbilical cord and amniotic fluid in </w:t>
      </w:r>
      <w:r>
        <w:t>meeting the needs of the developing fetus</w:t>
      </w:r>
      <w:r w:rsidRPr="00DA39ED">
        <w:t>.</w:t>
      </w:r>
      <w:r>
        <w:t xml:space="preserve">  Research has identified that whilst students seem to grasp the changes in morphology during development</w:t>
      </w:r>
      <w:r w:rsidR="003C1162">
        <w:t>,</w:t>
      </w:r>
      <w:r>
        <w:t xml:space="preserve"> they appear to</w:t>
      </w:r>
      <w:r w:rsidR="00295C3F">
        <w:t xml:space="preserve"> know less about the changing bodily functions and this in part could be due </w:t>
      </w:r>
      <w:r w:rsidR="00B80647">
        <w:t>to a</w:t>
      </w:r>
      <w:r>
        <w:t xml:space="preserve"> lack of understanding of the functions of the</w:t>
      </w:r>
      <w:r w:rsidR="00295C3F">
        <w:t xml:space="preserve"> placenta, umbilical cord and amniotic fluid</w:t>
      </w:r>
      <w:r>
        <w:t>.</w:t>
      </w:r>
    </w:p>
    <w:p w14:paraId="5E193420" w14:textId="4C1D7EDB" w:rsidR="00D92BC4" w:rsidRDefault="00D92BC4" w:rsidP="00D92BC4">
      <w:pPr>
        <w:spacing w:after="180"/>
      </w:pPr>
      <w:r>
        <w:t>Many students believe that the mother</w:t>
      </w:r>
      <w:r w:rsidR="003C1162">
        <w:t>’</w:t>
      </w:r>
      <w:r>
        <w:t>s blood mixes with the fetal blood to provide the nutrients required</w:t>
      </w:r>
      <w:r w:rsidR="003C1162">
        <w:t>,</w:t>
      </w:r>
      <w:r>
        <w:t xml:space="preserve"> and do not appreci</w:t>
      </w:r>
      <w:r w:rsidR="003C1162">
        <w:t>ate that the blood does not mix;</w:t>
      </w:r>
      <w:r>
        <w:t xml:space="preserve"> instead the placenta facilitates this exchange. Statement </w:t>
      </w:r>
      <w:r w:rsidR="003C1162">
        <w:t>1</w:t>
      </w:r>
      <w:r>
        <w:t xml:space="preserve"> will identify if there is confusion in this area.  Many students are not aware that the haemoglobin found in fetal red blood cells is different to that of maternal blood cells, </w:t>
      </w:r>
      <w:r w:rsidR="003C1162">
        <w:t xml:space="preserve">and </w:t>
      </w:r>
      <w:r>
        <w:t>it is this difference in affinity that allows the fetal blood to effectively remove the oxygen from the maternal blood</w:t>
      </w:r>
      <w:r w:rsidR="003C1162">
        <w:t>.</w:t>
      </w:r>
    </w:p>
    <w:p w14:paraId="3D71C2D1" w14:textId="14304965" w:rsidR="00EF30F1" w:rsidRDefault="00D92BC4" w:rsidP="00B24F62">
      <w:pPr>
        <w:spacing w:after="180"/>
      </w:pPr>
      <w:r>
        <w:t>Many students are aware of the role of the amniotic fluid in protection of the fetus, but do not realise that in later pregnancy the fetus will in fact breathe in some of this fluid</w:t>
      </w:r>
      <w:r w:rsidR="00056AFC">
        <w:t xml:space="preserve">; </w:t>
      </w:r>
      <w:r>
        <w:t xml:space="preserve">it is </w:t>
      </w:r>
      <w:r w:rsidR="00056AFC">
        <w:t xml:space="preserve">not, </w:t>
      </w:r>
      <w:r>
        <w:t>however</w:t>
      </w:r>
      <w:r w:rsidR="00056AFC">
        <w:t>,</w:t>
      </w:r>
      <w:r>
        <w:t xml:space="preserve"> using it to obtain oxygen</w:t>
      </w:r>
      <w:r w:rsidR="00056AFC">
        <w:t>. A</w:t>
      </w:r>
      <w:r>
        <w:t xml:space="preserve">n incorrect response to statement </w:t>
      </w:r>
      <w:r w:rsidR="00056AFC">
        <w:t>3</w:t>
      </w:r>
      <w:r>
        <w:t xml:space="preserve"> will identify this misunderstanding. Students are also often not aware that the fetus will excrete some urine into the fluid</w:t>
      </w:r>
      <w:r w:rsidR="004B5412">
        <w:t xml:space="preserve"> or that it is the fluid that maintains the temperature of the fetus. Statements </w:t>
      </w:r>
      <w:r w:rsidR="00056AFC">
        <w:t>4</w:t>
      </w:r>
      <w:r w:rsidR="004B5412">
        <w:t xml:space="preserve"> and </w:t>
      </w:r>
      <w:r w:rsidR="00056AFC">
        <w:t>5</w:t>
      </w:r>
      <w:r w:rsidR="004B5412">
        <w:t xml:space="preserve"> will identify any misunderstandings about these functions.</w:t>
      </w:r>
    </w:p>
    <w:p w14:paraId="3B8BB621" w14:textId="2B2CB10E" w:rsidR="00017D93" w:rsidRDefault="00B24F62" w:rsidP="00B24F62">
      <w:pPr>
        <w:spacing w:after="180"/>
        <w:rPr>
          <w:highlight w:val="yellow"/>
        </w:rPr>
      </w:pPr>
      <w:r w:rsidRPr="004F039C">
        <w:t xml:space="preserve">If students have </w:t>
      </w:r>
      <w:r w:rsidR="00AE3075">
        <w:t>misunderstanding</w:t>
      </w:r>
      <w:r w:rsidRPr="004F039C">
        <w:t xml:space="preserve">s about </w:t>
      </w:r>
      <w:r w:rsidR="00017D93">
        <w:t>the role of the placenta and amniotic fluid</w:t>
      </w:r>
      <w:r w:rsidR="00056AFC">
        <w:t>,</w:t>
      </w:r>
      <w:r w:rsidR="00017D93">
        <w:t xml:space="preserve"> it would be advisable to spend some time studying a diagram to show the developing fetus in the uterus and the associated structures</w:t>
      </w:r>
      <w:r w:rsidR="00056AFC">
        <w:t>. A</w:t>
      </w:r>
      <w:r w:rsidR="00017D93">
        <w:t xml:space="preserve"> more detailed diagram of the placenta and umbilical cord will be of greater use as student</w:t>
      </w:r>
      <w:r w:rsidR="00056AFC">
        <w:t>s</w:t>
      </w:r>
      <w:r w:rsidR="00017D93">
        <w:t xml:space="preserve"> may need an explanation as to how the blood of the two individuals is not mixed, yet the essential nutrients, oxygen, and antibodies are able to pass from mother to fetus via the umbilical cord. </w:t>
      </w:r>
      <w:r w:rsidR="003C1162">
        <w:t>T</w:t>
      </w:r>
      <w:r w:rsidR="00056AFC">
        <w:t xml:space="preserve">he placenta and </w:t>
      </w:r>
      <w:r w:rsidR="00017D93">
        <w:t>fetus are connected by the umbilical c</w:t>
      </w:r>
      <w:r w:rsidR="00017D93" w:rsidRPr="00017D93">
        <w:t>ord.</w:t>
      </w:r>
    </w:p>
    <w:p w14:paraId="504B98E0" w14:textId="2CC004C1" w:rsidR="00B24F62" w:rsidRDefault="00B24F62" w:rsidP="00B24F62">
      <w:pPr>
        <w:spacing w:after="180"/>
      </w:pPr>
      <w:r w:rsidRPr="00017D93">
        <w:t xml:space="preserve">The following BEST ‘response </w:t>
      </w:r>
      <w:r w:rsidR="00641E99" w:rsidRPr="00017D93">
        <w:t>activit</w:t>
      </w:r>
      <w:r w:rsidR="00954C1F">
        <w:t>y</w:t>
      </w:r>
      <w:r w:rsidRPr="00017D93">
        <w:t>’ could be used in follow-up to this diagnostic question:</w:t>
      </w:r>
    </w:p>
    <w:p w14:paraId="7F34B81E" w14:textId="6311DFBA" w:rsidR="00B24F62" w:rsidRPr="00A6111E" w:rsidRDefault="00B24F62" w:rsidP="00B24F62">
      <w:pPr>
        <w:pStyle w:val="ListParagraph"/>
        <w:numPr>
          <w:ilvl w:val="0"/>
          <w:numId w:val="1"/>
        </w:numPr>
        <w:spacing w:after="180"/>
      </w:pPr>
      <w:r w:rsidRPr="005568AC">
        <w:t xml:space="preserve">Response </w:t>
      </w:r>
      <w:r w:rsidR="00641E99" w:rsidRPr="005568AC">
        <w:t>activity</w:t>
      </w:r>
      <w:r w:rsidRPr="005568AC">
        <w:t xml:space="preserve">: </w:t>
      </w:r>
      <w:r w:rsidR="005568AC">
        <w:t>A new life</w:t>
      </w:r>
    </w:p>
    <w:p w14:paraId="24884293" w14:textId="77777777" w:rsidR="003117F6" w:rsidRPr="005B372A" w:rsidRDefault="00CC78A5" w:rsidP="00026DEC">
      <w:pPr>
        <w:spacing w:after="180"/>
        <w:rPr>
          <w:b/>
          <w:color w:val="538135"/>
          <w:sz w:val="24"/>
        </w:rPr>
      </w:pPr>
      <w:r w:rsidRPr="005B372A">
        <w:rPr>
          <w:b/>
          <w:color w:val="538135"/>
          <w:sz w:val="24"/>
        </w:rPr>
        <w:t>Acknowledgments</w:t>
      </w:r>
    </w:p>
    <w:p w14:paraId="1A6EB5A1" w14:textId="4BE7C21A" w:rsidR="00D278E8" w:rsidRDefault="00D278E8" w:rsidP="00E172C6">
      <w:pPr>
        <w:spacing w:after="180"/>
      </w:pPr>
      <w:r>
        <w:t xml:space="preserve">Developed </w:t>
      </w:r>
      <w:r w:rsidR="0015356E">
        <w:t xml:space="preserve">by </w:t>
      </w:r>
      <w:r w:rsidR="00E66B09">
        <w:t>Elizabeth Lupton</w:t>
      </w:r>
      <w:r w:rsidR="0015356E">
        <w:t xml:space="preserve"> (UYSEG)</w:t>
      </w:r>
      <w:r>
        <w:t>.</w:t>
      </w:r>
    </w:p>
    <w:p w14:paraId="243AAC1E" w14:textId="5003D095" w:rsidR="00CC78A5" w:rsidRDefault="00D278E8" w:rsidP="00E172C6">
      <w:pPr>
        <w:spacing w:after="180"/>
      </w:pPr>
      <w:r w:rsidRPr="0045323E">
        <w:t xml:space="preserve">Images: </w:t>
      </w:r>
      <w:r w:rsidR="00E66B09">
        <w:t>pixabay.com/sbtlneet</w:t>
      </w:r>
      <w:r w:rsidR="000D7976">
        <w:t xml:space="preserve"> (</w:t>
      </w:r>
      <w:r w:rsidR="000D7976" w:rsidRPr="000D7976">
        <w:t>1788082</w:t>
      </w:r>
      <w:r w:rsidR="000D7976">
        <w:t>)</w:t>
      </w:r>
    </w:p>
    <w:p w14:paraId="57BDBCBC" w14:textId="003506FC" w:rsidR="00295C3F" w:rsidRPr="004B5412" w:rsidRDefault="003117F6" w:rsidP="00E24309">
      <w:pPr>
        <w:spacing w:after="180"/>
        <w:rPr>
          <w:b/>
          <w:color w:val="538135"/>
          <w:sz w:val="24"/>
        </w:rPr>
      </w:pPr>
      <w:r w:rsidRPr="005B372A">
        <w:rPr>
          <w:b/>
          <w:color w:val="538135"/>
          <w:sz w:val="24"/>
        </w:rPr>
        <w:t>References</w:t>
      </w:r>
    </w:p>
    <w:p w14:paraId="3CBD0B73" w14:textId="77777777" w:rsidR="00056AFC" w:rsidRPr="00056AFC" w:rsidRDefault="00295C3F" w:rsidP="00056AFC">
      <w:pPr>
        <w:pStyle w:val="EndNoteBibliography"/>
        <w:spacing w:after="120"/>
        <w:rPr>
          <w:sz w:val="20"/>
          <w:szCs w:val="20"/>
        </w:rPr>
      </w:pPr>
      <w:r w:rsidRPr="00056AFC">
        <w:rPr>
          <w:sz w:val="20"/>
          <w:szCs w:val="20"/>
        </w:rPr>
        <w:fldChar w:fldCharType="begin"/>
      </w:r>
      <w:r w:rsidRPr="00056AFC">
        <w:rPr>
          <w:sz w:val="20"/>
          <w:szCs w:val="20"/>
        </w:rPr>
        <w:instrText xml:space="preserve"> ADDIN EN.REFLIST </w:instrText>
      </w:r>
      <w:r w:rsidRPr="00056AFC">
        <w:rPr>
          <w:sz w:val="20"/>
          <w:szCs w:val="20"/>
        </w:rPr>
        <w:fldChar w:fldCharType="separate"/>
      </w:r>
      <w:r w:rsidR="00056AFC" w:rsidRPr="00056AFC">
        <w:rPr>
          <w:sz w:val="20"/>
          <w:szCs w:val="20"/>
        </w:rPr>
        <w:t xml:space="preserve">Franse, R. R., Maartje., Van Es, S. E. and Van Schijndel, T. J. P. (2009). Children's thoughts on unborn babies. Representational redescription in preconceptions of children on fetal development. </w:t>
      </w:r>
      <w:r w:rsidR="00056AFC" w:rsidRPr="00056AFC">
        <w:rPr>
          <w:i/>
          <w:sz w:val="20"/>
          <w:szCs w:val="20"/>
        </w:rPr>
        <w:t>Proceedings of the Annual Meeting of the Cognitive Science Society,</w:t>
      </w:r>
      <w:r w:rsidR="00056AFC" w:rsidRPr="00056AFC">
        <w:rPr>
          <w:sz w:val="20"/>
          <w:szCs w:val="20"/>
        </w:rPr>
        <w:t xml:space="preserve"> 31(31).</w:t>
      </w:r>
    </w:p>
    <w:p w14:paraId="631E7EAC" w14:textId="77777777" w:rsidR="00056AFC" w:rsidRPr="00056AFC" w:rsidRDefault="00056AFC" w:rsidP="00056AFC">
      <w:pPr>
        <w:pStyle w:val="EndNoteBibliography"/>
        <w:spacing w:after="120"/>
        <w:rPr>
          <w:sz w:val="20"/>
          <w:szCs w:val="20"/>
        </w:rPr>
      </w:pPr>
      <w:r w:rsidRPr="00056AFC">
        <w:rPr>
          <w:sz w:val="20"/>
          <w:szCs w:val="20"/>
        </w:rPr>
        <w:t xml:space="preserve">Zimvrakaki, E. and Athanasiou, K. (2004). Children's representations about their body and sexual development. </w:t>
      </w:r>
      <w:r w:rsidRPr="00056AFC">
        <w:rPr>
          <w:i/>
          <w:sz w:val="20"/>
          <w:szCs w:val="20"/>
        </w:rPr>
        <w:t>ERIDOB.</w:t>
      </w:r>
      <w:r w:rsidRPr="00056AFC">
        <w:rPr>
          <w:sz w:val="20"/>
          <w:szCs w:val="20"/>
        </w:rPr>
        <w:t xml:space="preserve"> Patras- Greece: Patras University Press.</w:t>
      </w:r>
    </w:p>
    <w:p w14:paraId="1A14AE06" w14:textId="3B6D172A" w:rsidR="005B372A" w:rsidRPr="005B372A" w:rsidRDefault="00295C3F" w:rsidP="00056AFC">
      <w:pPr>
        <w:spacing w:after="120"/>
      </w:pPr>
      <w:r w:rsidRPr="00056AFC">
        <w:rPr>
          <w:sz w:val="20"/>
          <w:szCs w:val="20"/>
        </w:rPr>
        <w:fldChar w:fldCharType="end"/>
      </w:r>
    </w:p>
    <w:sectPr w:rsidR="005B372A" w:rsidRPr="005B372A" w:rsidSect="00642ECD">
      <w:headerReference w:type="default" r:id="rId10"/>
      <w:footerReference w:type="default" r:id="rId11"/>
      <w:pgSz w:w="11906" w:h="16838" w:code="9"/>
      <w:pgMar w:top="1440" w:right="1440" w:bottom="1440" w:left="1440"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D3408C" w16cid:durableId="210945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E26D2" w14:textId="77777777" w:rsidR="00B22FAE" w:rsidRDefault="00B22FAE" w:rsidP="000B473B">
      <w:r>
        <w:separator/>
      </w:r>
    </w:p>
  </w:endnote>
  <w:endnote w:type="continuationSeparator" w:id="0">
    <w:p w14:paraId="47F211B3" w14:textId="77777777" w:rsidR="00B22FAE" w:rsidRDefault="00B22FAE"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E102" w14:textId="6602267F"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15FEF3ED" wp14:editId="70E07F05">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09265"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C3748B">
      <w:rPr>
        <w:noProof/>
      </w:rPr>
      <w:t>1</w:t>
    </w:r>
    <w:r>
      <w:rPr>
        <w:noProof/>
      </w:rPr>
      <w:fldChar w:fldCharType="end"/>
    </w:r>
  </w:p>
  <w:p w14:paraId="0BCCB364" w14:textId="77777777"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14:paraId="470AB681" w14:textId="77777777"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Attribution-NonCommercial (CC BY-NC)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D1CDD" w14:textId="0A2F8CBB" w:rsidR="00EF30F1" w:rsidRDefault="00EF30F1"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35BB126D" wp14:editId="64BEA5BB">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1321D"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C3748B">
      <w:rPr>
        <w:noProof/>
      </w:rPr>
      <w:t>3</w:t>
    </w:r>
    <w:r>
      <w:rPr>
        <w:noProof/>
      </w:rPr>
      <w:fldChar w:fldCharType="end"/>
    </w:r>
  </w:p>
  <w:p w14:paraId="6EA93A4D" w14:textId="77777777" w:rsidR="00EF30F1" w:rsidRDefault="00EF30F1"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14:paraId="6D2E8B04" w14:textId="77777777" w:rsidR="00EF30F1" w:rsidRPr="00201AC2" w:rsidRDefault="00EF30F1" w:rsidP="00AE3075">
    <w:pPr>
      <w:pStyle w:val="Footer"/>
      <w:rPr>
        <w:sz w:val="16"/>
        <w:szCs w:val="16"/>
      </w:rPr>
    </w:pPr>
    <w:r w:rsidRPr="00AE3075">
      <w:rPr>
        <w:sz w:val="16"/>
        <w:szCs w:val="16"/>
      </w:rPr>
      <w:t>© University of York Science Education Group. Distributed under a Creative Commons Attribution-NonCommercial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703DA" w14:textId="77777777" w:rsidR="00B22FAE" w:rsidRDefault="00B22FAE" w:rsidP="000B473B">
      <w:r>
        <w:separator/>
      </w:r>
    </w:p>
  </w:footnote>
  <w:footnote w:type="continuationSeparator" w:id="0">
    <w:p w14:paraId="34FEC98D" w14:textId="77777777" w:rsidR="00B22FAE" w:rsidRDefault="00B22FAE" w:rsidP="000B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72AF" w14:textId="77777777"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14:anchorId="207C65B3" wp14:editId="5F564D3B">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14:anchorId="0CDDBC09" wp14:editId="31835274">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6BFD6"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C830E" w14:textId="77777777"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6F75DE4C" wp14:editId="17DDF0A3">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8656DC3" wp14:editId="2630B5CC">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E6E22"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CA4C5D"/>
    <w:multiLevelType w:val="hybridMultilevel"/>
    <w:tmpl w:val="C6DA427C"/>
    <w:lvl w:ilvl="0" w:tplc="FC68CE64">
      <w:start w:val="1"/>
      <w:numFmt w:val="upperLetter"/>
      <w:lvlText w:val="%1."/>
      <w:lvlJc w:val="left"/>
      <w:pPr>
        <w:ind w:left="720" w:hanging="360"/>
      </w:pPr>
      <w:rPr>
        <w:rFonts w:hint="default"/>
        <w:b/>
        <w:bCs/>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C87021"/>
    <w:multiLevelType w:val="hybridMultilevel"/>
    <w:tmpl w:val="E8EE7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67B7B"/>
    <w:rsid w:val="000030A3"/>
    <w:rsid w:val="00015578"/>
    <w:rsid w:val="00017D93"/>
    <w:rsid w:val="00024731"/>
    <w:rsid w:val="00026DEC"/>
    <w:rsid w:val="000505CA"/>
    <w:rsid w:val="00056AFC"/>
    <w:rsid w:val="0007651D"/>
    <w:rsid w:val="0009089A"/>
    <w:rsid w:val="000947E2"/>
    <w:rsid w:val="00095E04"/>
    <w:rsid w:val="000B473B"/>
    <w:rsid w:val="000D0E89"/>
    <w:rsid w:val="000D7976"/>
    <w:rsid w:val="000E2689"/>
    <w:rsid w:val="00110978"/>
    <w:rsid w:val="00142613"/>
    <w:rsid w:val="0014430C"/>
    <w:rsid w:val="00144DA7"/>
    <w:rsid w:val="0015356E"/>
    <w:rsid w:val="00161D3F"/>
    <w:rsid w:val="001915D4"/>
    <w:rsid w:val="0019732C"/>
    <w:rsid w:val="001A1FED"/>
    <w:rsid w:val="001A40E2"/>
    <w:rsid w:val="001C4805"/>
    <w:rsid w:val="00201AC2"/>
    <w:rsid w:val="00211F6E"/>
    <w:rsid w:val="00214608"/>
    <w:rsid w:val="0021607B"/>
    <w:rsid w:val="002178AC"/>
    <w:rsid w:val="00221DA7"/>
    <w:rsid w:val="0022547C"/>
    <w:rsid w:val="0025410A"/>
    <w:rsid w:val="0027553E"/>
    <w:rsid w:val="0028012F"/>
    <w:rsid w:val="002828DF"/>
    <w:rsid w:val="00287876"/>
    <w:rsid w:val="00292C53"/>
    <w:rsid w:val="00294E22"/>
    <w:rsid w:val="00295C3F"/>
    <w:rsid w:val="002C22EA"/>
    <w:rsid w:val="002C47F4"/>
    <w:rsid w:val="002C59BA"/>
    <w:rsid w:val="00301AA9"/>
    <w:rsid w:val="003117F6"/>
    <w:rsid w:val="003533B8"/>
    <w:rsid w:val="003752BE"/>
    <w:rsid w:val="00380A34"/>
    <w:rsid w:val="003A346A"/>
    <w:rsid w:val="003A6A95"/>
    <w:rsid w:val="003B2917"/>
    <w:rsid w:val="003B541B"/>
    <w:rsid w:val="003C1162"/>
    <w:rsid w:val="003C7F8E"/>
    <w:rsid w:val="003E2B2F"/>
    <w:rsid w:val="003E6046"/>
    <w:rsid w:val="003F16F9"/>
    <w:rsid w:val="00430C1F"/>
    <w:rsid w:val="00431AE5"/>
    <w:rsid w:val="00442595"/>
    <w:rsid w:val="0045323E"/>
    <w:rsid w:val="004B0EE1"/>
    <w:rsid w:val="004B5412"/>
    <w:rsid w:val="004C5D20"/>
    <w:rsid w:val="004D0D83"/>
    <w:rsid w:val="004E1DF1"/>
    <w:rsid w:val="004E5592"/>
    <w:rsid w:val="0050055B"/>
    <w:rsid w:val="00524710"/>
    <w:rsid w:val="00555342"/>
    <w:rsid w:val="005560E2"/>
    <w:rsid w:val="005568AC"/>
    <w:rsid w:val="005A452E"/>
    <w:rsid w:val="005A6EE7"/>
    <w:rsid w:val="005B372A"/>
    <w:rsid w:val="005F1A7B"/>
    <w:rsid w:val="006355D8"/>
    <w:rsid w:val="00641E99"/>
    <w:rsid w:val="00642ECD"/>
    <w:rsid w:val="006502A0"/>
    <w:rsid w:val="006772F5"/>
    <w:rsid w:val="006A4440"/>
    <w:rsid w:val="006B0615"/>
    <w:rsid w:val="006D166B"/>
    <w:rsid w:val="006F3279"/>
    <w:rsid w:val="00704AEE"/>
    <w:rsid w:val="00722F9A"/>
    <w:rsid w:val="00726D7A"/>
    <w:rsid w:val="00754539"/>
    <w:rsid w:val="00772B8F"/>
    <w:rsid w:val="00781BC6"/>
    <w:rsid w:val="007A3C86"/>
    <w:rsid w:val="007A683E"/>
    <w:rsid w:val="007A748B"/>
    <w:rsid w:val="007C26E1"/>
    <w:rsid w:val="007D1D65"/>
    <w:rsid w:val="007E0A5F"/>
    <w:rsid w:val="007E0A9E"/>
    <w:rsid w:val="007E44ED"/>
    <w:rsid w:val="007E5309"/>
    <w:rsid w:val="00800DE1"/>
    <w:rsid w:val="00813F47"/>
    <w:rsid w:val="008450D6"/>
    <w:rsid w:val="00856FCA"/>
    <w:rsid w:val="00873B8C"/>
    <w:rsid w:val="00880E3B"/>
    <w:rsid w:val="008A405F"/>
    <w:rsid w:val="008C7F34"/>
    <w:rsid w:val="008E580C"/>
    <w:rsid w:val="0090047A"/>
    <w:rsid w:val="00925026"/>
    <w:rsid w:val="00931264"/>
    <w:rsid w:val="00942A4B"/>
    <w:rsid w:val="00954C1F"/>
    <w:rsid w:val="00961D59"/>
    <w:rsid w:val="00963930"/>
    <w:rsid w:val="0098200F"/>
    <w:rsid w:val="009B2D55"/>
    <w:rsid w:val="009C0343"/>
    <w:rsid w:val="009E0D11"/>
    <w:rsid w:val="00A24A16"/>
    <w:rsid w:val="00A24C61"/>
    <w:rsid w:val="00A37D14"/>
    <w:rsid w:val="00A6111E"/>
    <w:rsid w:val="00A6168B"/>
    <w:rsid w:val="00A62028"/>
    <w:rsid w:val="00A67B7B"/>
    <w:rsid w:val="00AA6236"/>
    <w:rsid w:val="00AB6AE7"/>
    <w:rsid w:val="00AC5C7A"/>
    <w:rsid w:val="00AD21F5"/>
    <w:rsid w:val="00AE3075"/>
    <w:rsid w:val="00B06225"/>
    <w:rsid w:val="00B22FAE"/>
    <w:rsid w:val="00B23C7A"/>
    <w:rsid w:val="00B24F62"/>
    <w:rsid w:val="00B305F5"/>
    <w:rsid w:val="00B46FF9"/>
    <w:rsid w:val="00B47E1D"/>
    <w:rsid w:val="00B75483"/>
    <w:rsid w:val="00B80647"/>
    <w:rsid w:val="00BA7952"/>
    <w:rsid w:val="00BB44B4"/>
    <w:rsid w:val="00BC0518"/>
    <w:rsid w:val="00BF0BBF"/>
    <w:rsid w:val="00BF6C8A"/>
    <w:rsid w:val="00C05571"/>
    <w:rsid w:val="00C246CE"/>
    <w:rsid w:val="00C30819"/>
    <w:rsid w:val="00C3748B"/>
    <w:rsid w:val="00C54711"/>
    <w:rsid w:val="00C57FA2"/>
    <w:rsid w:val="00CC2E4D"/>
    <w:rsid w:val="00CC78A5"/>
    <w:rsid w:val="00CC7B16"/>
    <w:rsid w:val="00CE15FE"/>
    <w:rsid w:val="00D02E15"/>
    <w:rsid w:val="00D14F44"/>
    <w:rsid w:val="00D278E8"/>
    <w:rsid w:val="00D421E8"/>
    <w:rsid w:val="00D44604"/>
    <w:rsid w:val="00D479B3"/>
    <w:rsid w:val="00D52283"/>
    <w:rsid w:val="00D524E5"/>
    <w:rsid w:val="00D72FEF"/>
    <w:rsid w:val="00D755FA"/>
    <w:rsid w:val="00D92BC4"/>
    <w:rsid w:val="00DA39ED"/>
    <w:rsid w:val="00DC4A4E"/>
    <w:rsid w:val="00DD1874"/>
    <w:rsid w:val="00DD63BD"/>
    <w:rsid w:val="00DF05DB"/>
    <w:rsid w:val="00DF7E20"/>
    <w:rsid w:val="00E172C6"/>
    <w:rsid w:val="00E24309"/>
    <w:rsid w:val="00E4084A"/>
    <w:rsid w:val="00E53D82"/>
    <w:rsid w:val="00E66B09"/>
    <w:rsid w:val="00E9330A"/>
    <w:rsid w:val="00EE6B97"/>
    <w:rsid w:val="00EF30F1"/>
    <w:rsid w:val="00F12C3B"/>
    <w:rsid w:val="00F13FEA"/>
    <w:rsid w:val="00F15C22"/>
    <w:rsid w:val="00F26884"/>
    <w:rsid w:val="00F72ECC"/>
    <w:rsid w:val="00F8355F"/>
    <w:rsid w:val="00FA3196"/>
    <w:rsid w:val="00FA4FE5"/>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50C90"/>
  <w15:docId w15:val="{C257CA30-920B-4E6F-BF4F-90477029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D93"/>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character" w:styleId="CommentReference">
    <w:name w:val="annotation reference"/>
    <w:basedOn w:val="DefaultParagraphFont"/>
    <w:uiPriority w:val="99"/>
    <w:semiHidden/>
    <w:unhideWhenUsed/>
    <w:rsid w:val="00221DA7"/>
    <w:rPr>
      <w:sz w:val="16"/>
      <w:szCs w:val="16"/>
    </w:rPr>
  </w:style>
  <w:style w:type="paragraph" w:styleId="CommentText">
    <w:name w:val="annotation text"/>
    <w:basedOn w:val="Normal"/>
    <w:link w:val="CommentTextChar"/>
    <w:uiPriority w:val="99"/>
    <w:semiHidden/>
    <w:unhideWhenUsed/>
    <w:rsid w:val="00221DA7"/>
    <w:rPr>
      <w:sz w:val="20"/>
      <w:szCs w:val="20"/>
    </w:rPr>
  </w:style>
  <w:style w:type="character" w:customStyle="1" w:styleId="CommentTextChar">
    <w:name w:val="Comment Text Char"/>
    <w:basedOn w:val="DefaultParagraphFont"/>
    <w:link w:val="CommentText"/>
    <w:uiPriority w:val="99"/>
    <w:semiHidden/>
    <w:rsid w:val="00221DA7"/>
    <w:rPr>
      <w:rFonts w:cs="Arial"/>
      <w:sz w:val="20"/>
      <w:szCs w:val="20"/>
    </w:rPr>
  </w:style>
  <w:style w:type="paragraph" w:styleId="CommentSubject">
    <w:name w:val="annotation subject"/>
    <w:basedOn w:val="CommentText"/>
    <w:next w:val="CommentText"/>
    <w:link w:val="CommentSubjectChar"/>
    <w:uiPriority w:val="99"/>
    <w:semiHidden/>
    <w:unhideWhenUsed/>
    <w:rsid w:val="00221DA7"/>
    <w:rPr>
      <w:b/>
      <w:bCs/>
    </w:rPr>
  </w:style>
  <w:style w:type="character" w:customStyle="1" w:styleId="CommentSubjectChar">
    <w:name w:val="Comment Subject Char"/>
    <w:basedOn w:val="CommentTextChar"/>
    <w:link w:val="CommentSubject"/>
    <w:uiPriority w:val="99"/>
    <w:semiHidden/>
    <w:rsid w:val="00221DA7"/>
    <w:rPr>
      <w:rFonts w:cs="Arial"/>
      <w:b/>
      <w:bCs/>
      <w:sz w:val="20"/>
      <w:szCs w:val="20"/>
    </w:rPr>
  </w:style>
  <w:style w:type="paragraph" w:customStyle="1" w:styleId="EndNoteBibliographyTitle">
    <w:name w:val="EndNote Bibliography Title"/>
    <w:basedOn w:val="Normal"/>
    <w:link w:val="EndNoteBibliographyTitleChar"/>
    <w:rsid w:val="00295C3F"/>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95C3F"/>
    <w:rPr>
      <w:rFonts w:ascii="Calibri" w:hAnsi="Calibri" w:cs="Calibri"/>
      <w:noProof/>
      <w:lang w:val="en-US"/>
    </w:rPr>
  </w:style>
  <w:style w:type="paragraph" w:customStyle="1" w:styleId="EndNoteBibliography">
    <w:name w:val="EndNote Bibliography"/>
    <w:basedOn w:val="Normal"/>
    <w:link w:val="EndNoteBibliographyChar"/>
    <w:rsid w:val="00295C3F"/>
    <w:rPr>
      <w:rFonts w:ascii="Calibri" w:hAnsi="Calibri" w:cs="Calibri"/>
      <w:noProof/>
      <w:lang w:val="en-US"/>
    </w:rPr>
  </w:style>
  <w:style w:type="character" w:customStyle="1" w:styleId="EndNoteBibliographyChar">
    <w:name w:val="EndNote Bibliography Char"/>
    <w:basedOn w:val="DefaultParagraphFont"/>
    <w:link w:val="EndNoteBibliography"/>
    <w:rsid w:val="00295C3F"/>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20Lupton\Documents\York\BEST\Templates\Biology%20templates\template_biology_item_diagnostic_confidence%20gri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template_biology_item_diagnostic_confidence grid.dotx</Template>
  <TotalTime>6608</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Lupton</dc:creator>
  <cp:lastModifiedBy>Alistair Moore</cp:lastModifiedBy>
  <cp:revision>28</cp:revision>
  <cp:lastPrinted>2017-02-24T16:20:00Z</cp:lastPrinted>
  <dcterms:created xsi:type="dcterms:W3CDTF">2019-08-22T14:56:00Z</dcterms:created>
  <dcterms:modified xsi:type="dcterms:W3CDTF">2019-10-24T09:20:00Z</dcterms:modified>
</cp:coreProperties>
</file>